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right="-2" w:firstLine="595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к письму Ростехнадзора</w:t>
      </w:r>
    </w:p>
    <w:p>
      <w:pPr>
        <w:pStyle w:val="Normal"/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от ___ декабря 2022 г. № _________</w:t>
      </w:r>
    </w:p>
    <w:p>
      <w:pPr>
        <w:pStyle w:val="Normal"/>
        <w:ind w:left="-284" w:right="-2" w:firstLine="851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УРОКИ, ИЗВЛЕЧЕННЫЕ ИЗ АВАРИИ</w:t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(Форма)</w:t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255"/>
        <w:gridCol w:w="7229"/>
      </w:tblGrid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18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июля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г.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Акционерное общество «Концерн Росэнергоатом» филиал «Калининская атомная станция»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АО «Концерн Росэнергоатом»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Тверская область, г. Удомля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Нарушение работы средств диспетчерского и технологического управления, приводящие к одному из следующих случаев потери связи между диспетчерским центром субъекта оперативно-диспетчерского управления в электроэнергетике и объектом электроэнергетики или энергопринимающей установкой продолжительностью 1 час и более: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Полная потеря диспетчерской связи и невозможность передачи телеметрической информации.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раткое описание аварии: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18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июля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в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48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при выполнении земляных работ произошло повреждение линейно-кабельной канализации Тверьэнерго и обрыв ВОЛС. В результате Тверским РДУ было зафиксировано одновременная полная потеря каналов диспетчерской связи и приёма телеметрической информации с Калининской АЭС.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Последствия аварии:</w:t>
            </w:r>
          </w:p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верским РДУ было зафиксировано одновременная полная потеря каналов диспетчерской связи и приёма телеметрической информации с Калининской АЭС.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1. Технические причины аварии:</w:t>
            </w:r>
          </w:p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11.1 При проведении работ строительной техникой по устройству ливневой канализации в месте прохождения кабеля оптической линии связи был произведен его разрыв;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1.2. Отсутствие на Схеме прохождения кабельных линий связи по территории Тверской ПР ВОЛС ФСК ЕЭС.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2. Организационные причины аварии:</w:t>
            </w:r>
            <w:bookmarkStart w:id="0" w:name="_GoBack"/>
            <w:bookmarkEnd w:id="0"/>
          </w:p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2.1 Основной и резервный каналы связи от Калининской АЭС до Тверского РДУ имеют единую точку отказа, связанную с физическим прохождением кабель-каналов в одной кабельной канализации на территории ремонтно-производственной базы Тверьэнерго. В зоне ответственности Калининской АЭС на схемах организации основного и резервного каналов связи от Калининской АЭС до Тверского РДУ отсутствует информация о трассах прохождения каналов связи 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2.2. Из-за отсутствия правильного нанесения на схему положения кабельной канализации Тверьэнерго разрешило проведение работ по устройству ливневой канализации без учета фактического прохождения ВОЛС оптической линии связи что привело к его повреждению при проведении земляных работ.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3. Технические мероприятия:</w:t>
            </w:r>
          </w:p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3.1 Выполнить проверку организации двух независимых каналов связи, в соответствии с Требованиями к каналам связи для функционирования релейной защиты и автоматики, утв. Приказом Министерства энергетики РФ от 13 февраля 2019 г. № 97;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3.2 Оформить единую схему прохождения подземных коммуникаций по территории РПБ Тверьэнерго с привязкой и нанесением соответствующих знаков и глубины залегания.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4. Организационные мероприятия:</w:t>
            </w:r>
          </w:p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4.1 Запросить у Тверского РДУ технические условия на организацию резервного канала связи от Калининской АЭС до точки доступа Тверского РДУ;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4.2 Разработать исполнительные схемы организации каналов связи между Калининской АЭС и Тверским;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4.3. Заместителю начальника отдела информационно-коммуникационных технологий (по СДТУ) Калининской АЭС Кузнецову Виктору Анатольевичу пройти аттестацию в внеочередную территориальной комиссии управления аттестационной Центрального Ростехнадзора;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4.4. Первому заместителю директора - главному инженеру филиала ПАО «МРСК Центра» - «Тверьэнерго» М.В. Лобкову пройти внеочередную аттестацию в территориальной аттестационной комиссии Центрального управления Ростехнадзора.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5.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5.1 Усилить контроль за организацией проведения строительных работ в охранной зоне кабельных линий;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5.2 Заключить соглашение о взаимодействии по эксплуатации каналов связи между собственниками ресурсов и Калининской АЭС с установлением зон эксплуатационной ответственности.</w:t>
            </w:r>
          </w:p>
        </w:tc>
      </w:tr>
      <w:tr>
        <w:trPr>
          <w:trHeight w:val="6661" w:hRule="atLeas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  <w:t>6. Фото места происшествия.</w:t>
            </w:r>
          </w:p>
          <w:p>
            <w:pPr>
              <w:pStyle w:val="Style17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7"/>
              <w:widowControl w:val="false"/>
              <w:ind w:left="-105" w:hanging="0"/>
              <w:rPr>
                <w:color w:val="FF0000"/>
              </w:rPr>
            </w:pPr>
            <w:r>
              <w:rPr/>
            </w:r>
          </w:p>
        </w:tc>
      </w:tr>
    </w:tbl>
    <w:p>
      <w:pPr>
        <w:pStyle w:val="Standard"/>
        <w:jc w:val="center"/>
        <w:rPr>
          <w:sz w:val="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851" w:footer="72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XO Thames">
    <w:charset w:val="01"/>
    <w:family w:val="swiss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b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empora LGC Uni" w:cs="Tempora LGC Un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empora LGC Uni" w:hAnsi="Tempora LGC Uni" w:eastAsia="Tempora LGC Uni" w:cs="Tempora LGC Uni"/>
      <w:color w:val="000000"/>
      <w:kern w:val="2"/>
      <w:sz w:val="24"/>
      <w:szCs w:val="24"/>
      <w:lang w:val="ru-RU" w:eastAsia="ru-RU" w:bidi="ar-SA"/>
    </w:rPr>
  </w:style>
  <w:style w:type="paragraph" w:styleId="1">
    <w:name w:val="Heading 1"/>
    <w:basedOn w:val="Standard"/>
    <w:next w:val="Standard"/>
    <w:qFormat/>
    <w:pPr>
      <w:spacing w:before="120" w:after="120"/>
      <w:outlineLvl w:val="0"/>
    </w:pPr>
    <w:rPr>
      <w:rFonts w:ascii="XO Thames" w:hAnsi="XO Thames" w:eastAsia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qFormat/>
    <w:pPr>
      <w:spacing w:before="120" w:after="120"/>
      <w:outlineLvl w:val="1"/>
    </w:pPr>
    <w:rPr>
      <w:rFonts w:ascii="XO Thames" w:hAnsi="XO Thames" w:eastAsia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qFormat/>
    <w:pPr>
      <w:outlineLvl w:val="2"/>
    </w:pPr>
    <w:rPr>
      <w:rFonts w:ascii="XO Thames" w:hAnsi="XO Thames" w:eastAsia="XO Thames" w:cs="XO Thames"/>
      <w:b/>
      <w:bCs/>
      <w:i/>
      <w:iCs/>
    </w:rPr>
  </w:style>
  <w:style w:type="paragraph" w:styleId="4">
    <w:name w:val="Heading 4"/>
    <w:basedOn w:val="Standard"/>
    <w:next w:val="Standard"/>
    <w:qFormat/>
    <w:pPr>
      <w:spacing w:before="120" w:after="120"/>
      <w:outlineLvl w:val="3"/>
    </w:pPr>
    <w:rPr>
      <w:rFonts w:ascii="XO Thames" w:hAnsi="XO Thames" w:eastAsia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qFormat/>
    <w:pPr>
      <w:spacing w:before="120" w:after="120"/>
      <w:outlineLvl w:val="4"/>
    </w:pPr>
    <w:rPr>
      <w:rFonts w:ascii="XO Thames" w:hAnsi="XO Thames" w:eastAsia="XO Thames" w:cs="XO Thames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qFormat/>
    <w:rPr/>
  </w:style>
  <w:style w:type="character" w:styleId="Style10" w:customStyle="1">
    <w:name w:val="Нижний колонтитул Знак"/>
    <w:basedOn w:val="DefaultParagraphFont"/>
    <w:qFormat/>
    <w:rPr/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Open Sans" w:hAnsi="Open Sans" w:eastAsia="Open Sans" w:cs="Open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/>
    <w:rPr/>
  </w:style>
  <w:style w:type="paragraph" w:styleId="Contents2" w:customStyle="1">
    <w:name w:val="Contents 2"/>
    <w:basedOn w:val="Standard"/>
    <w:next w:val="Standard"/>
    <w:qFormat/>
    <w:pPr>
      <w:ind w:left="200" w:hanging="0"/>
    </w:pPr>
    <w:rPr/>
  </w:style>
  <w:style w:type="paragraph" w:styleId="Contents4" w:customStyle="1">
    <w:name w:val="Contents 4"/>
    <w:basedOn w:val="Standard"/>
    <w:next w:val="Standard"/>
    <w:qFormat/>
    <w:pPr>
      <w:ind w:left="600" w:hanging="0"/>
    </w:pPr>
    <w:rPr/>
  </w:style>
  <w:style w:type="paragraph" w:styleId="Style16" w:customStyle="1">
    <w:name w:val="Текст выноски Знак"/>
    <w:basedOn w:val="11"/>
    <w:qFormat/>
    <w:pPr/>
    <w:rPr>
      <w:rFonts w:ascii="Tahoma" w:hAnsi="Tahoma" w:eastAsia="Tahoma" w:cs="Tahoma"/>
      <w:sz w:val="16"/>
      <w:szCs w:val="16"/>
    </w:rPr>
  </w:style>
  <w:style w:type="paragraph" w:styleId="Contents6" w:customStyle="1">
    <w:name w:val="Contents 6"/>
    <w:basedOn w:val="Standard"/>
    <w:next w:val="Standard"/>
    <w:qFormat/>
    <w:pPr>
      <w:ind w:left="1000" w:hanging="0"/>
    </w:pPr>
    <w:rPr/>
  </w:style>
  <w:style w:type="paragraph" w:styleId="Contents7" w:customStyle="1">
    <w:name w:val="Contents 7"/>
    <w:basedOn w:val="Standard"/>
    <w:next w:val="Standard"/>
    <w:qFormat/>
    <w:pPr>
      <w:ind w:left="1200" w:hanging="0"/>
    </w:pPr>
    <w:rPr/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empora LGC Uni" w:hAnsi="Tempora LGC Uni" w:eastAsia="Tempora LGC Uni" w:cs="Tempora LGC Uni"/>
      <w:color w:val="000000"/>
      <w:kern w:val="2"/>
      <w:sz w:val="24"/>
      <w:szCs w:val="24"/>
      <w:lang w:val="ru-RU" w:eastAsia="ru-RU" w:bidi="ar-SA"/>
    </w:rPr>
  </w:style>
  <w:style w:type="paragraph" w:styleId="Style17" w:customStyle="1">
    <w:name w:val="Содержимое таблицы"/>
    <w:basedOn w:val="Standard"/>
    <w:qFormat/>
    <w:pPr>
      <w:widowControl w:val="false"/>
    </w:pPr>
    <w:rPr/>
  </w:style>
  <w:style w:type="paragraph" w:styleId="BalloonText">
    <w:name w:val="Balloon Text"/>
    <w:basedOn w:val="Normal"/>
    <w:uiPriority w:val="99"/>
    <w:qFormat/>
    <w:pPr/>
    <w:rPr>
      <w:rFonts w:ascii="Tahoma" w:hAnsi="Tahoma" w:eastAsia="Tahoma" w:cs="Tahoma"/>
      <w:sz w:val="16"/>
      <w:szCs w:val="16"/>
    </w:rPr>
  </w:style>
  <w:style w:type="paragraph" w:styleId="Contents3" w:customStyle="1">
    <w:name w:val="Contents 3"/>
    <w:basedOn w:val="Standard"/>
    <w:next w:val="Standard"/>
    <w:qFormat/>
    <w:pPr>
      <w:ind w:left="400" w:hanging="0"/>
    </w:pPr>
    <w:rPr/>
  </w:style>
  <w:style w:type="paragraph" w:styleId="11" w:customStyle="1">
    <w:name w:val="Основной шрифт абзаца1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empora LGC Uni" w:hAnsi="Tempora LGC Uni" w:eastAsia="Tempora LGC Uni" w:cs="Tempora LGC Uni"/>
      <w:color w:val="000000"/>
      <w:kern w:val="2"/>
      <w:sz w:val="24"/>
      <w:szCs w:val="24"/>
      <w:lang w:val="ru-RU" w:eastAsia="ru-RU" w:bidi="ar-SA"/>
    </w:rPr>
  </w:style>
  <w:style w:type="paragraph" w:styleId="Caption">
    <w:name w:val="caption"/>
    <w:basedOn w:val="Standard"/>
    <w:qFormat/>
    <w:pPr>
      <w:spacing w:before="120" w:after="120"/>
    </w:pPr>
    <w:rPr>
      <w:i/>
      <w:iCs/>
    </w:rPr>
  </w:style>
  <w:style w:type="paragraph" w:styleId="Internetlink" w:customStyle="1">
    <w:name w:val="Hyperlink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empora LGC Uni" w:hAnsi="Tempora LGC Uni" w:eastAsia="Tempora LGC Uni" w:cs="Tempora LGC Uni"/>
      <w:color w:val="0000FF"/>
      <w:kern w:val="2"/>
      <w:sz w:val="24"/>
      <w:szCs w:val="24"/>
      <w:u w:val="single"/>
      <w:lang w:val="ru-RU" w:eastAsia="ru-RU" w:bidi="ar-SA"/>
    </w:rPr>
  </w:style>
  <w:style w:type="paragraph" w:styleId="Footnote" w:customStyle="1">
    <w:name w:val="Footnote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XO Thames" w:hAnsi="XO Thames" w:eastAsia="XO Thames" w:cs="XO Thames"/>
      <w:color w:val="000000"/>
      <w:kern w:val="2"/>
      <w:sz w:val="22"/>
      <w:szCs w:val="22"/>
      <w:lang w:val="ru-RU" w:eastAsia="ru-RU" w:bidi="ar-SA"/>
    </w:rPr>
  </w:style>
  <w:style w:type="paragraph" w:styleId="Contents1" w:customStyle="1">
    <w:name w:val="Contents 1"/>
    <w:basedOn w:val="Standard"/>
    <w:next w:val="Standard"/>
    <w:qFormat/>
    <w:pPr/>
    <w:rPr>
      <w:rFonts w:ascii="XO Thames" w:hAnsi="XO Thames" w:eastAsia="XO Thames" w:cs="XO Thames"/>
      <w:b/>
      <w:bCs/>
    </w:rPr>
  </w:style>
  <w:style w:type="paragraph" w:styleId="Style18" w:customStyle="1">
    <w:name w:val="Колонтитул"/>
    <w:qFormat/>
    <w:pPr>
      <w:widowControl/>
      <w:suppressAutoHyphens w:val="true"/>
      <w:overflowPunct w:val="true"/>
      <w:bidi w:val="0"/>
      <w:spacing w:lineRule="auto" w:line="360" w:before="0" w:after="0"/>
      <w:jc w:val="left"/>
      <w:textAlignment w:val="baseline"/>
    </w:pPr>
    <w:rPr>
      <w:rFonts w:ascii="XO Thames" w:hAnsi="XO Thames" w:eastAsia="XO Thames" w:cs="XO Thames"/>
      <w:color w:val="000000"/>
      <w:kern w:val="2"/>
      <w:sz w:val="20"/>
      <w:szCs w:val="20"/>
      <w:lang w:val="ru-RU" w:eastAsia="ru-RU" w:bidi="ar-SA"/>
    </w:rPr>
  </w:style>
  <w:style w:type="paragraph" w:styleId="Contents9" w:customStyle="1">
    <w:name w:val="Contents 9"/>
    <w:basedOn w:val="Standard"/>
    <w:next w:val="Standard"/>
    <w:qFormat/>
    <w:pPr>
      <w:ind w:left="1600" w:hanging="0"/>
    </w:pPr>
    <w:rPr/>
  </w:style>
  <w:style w:type="paragraph" w:styleId="Contents8" w:customStyle="1">
    <w:name w:val="Contents 8"/>
    <w:basedOn w:val="Standard"/>
    <w:next w:val="Standard"/>
    <w:qFormat/>
    <w:pPr>
      <w:ind w:left="1400" w:hanging="0"/>
    </w:pPr>
    <w:rPr/>
  </w:style>
  <w:style w:type="paragraph" w:styleId="Contents5" w:customStyle="1">
    <w:name w:val="Contents 5"/>
    <w:basedOn w:val="Standard"/>
    <w:next w:val="Standard"/>
    <w:qFormat/>
    <w:pPr>
      <w:ind w:left="800" w:hanging="0"/>
    </w:pPr>
    <w:rPr/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empora LGC Uni" w:hAnsi="Tempora LGC Uni" w:eastAsia="Tempora LGC Uni" w:cs="Tempora LGC Uni"/>
      <w:color w:val="000000"/>
      <w:kern w:val="2"/>
      <w:sz w:val="24"/>
      <w:szCs w:val="24"/>
      <w:lang w:val="ru-RU" w:eastAsia="ru-RU" w:bidi="ar-SA"/>
    </w:rPr>
  </w:style>
  <w:style w:type="paragraph" w:styleId="Style19">
    <w:name w:val="Subtitle"/>
    <w:basedOn w:val="Standard"/>
    <w:next w:val="Standard"/>
    <w:qFormat/>
    <w:pPr/>
    <w:rPr>
      <w:rFonts w:ascii="XO Thames" w:hAnsi="XO Thames" w:eastAsia="XO Thames" w:cs="XO Thames"/>
      <w:i/>
      <w:iCs/>
      <w:color w:val="616161"/>
    </w:rPr>
  </w:style>
  <w:style w:type="paragraph" w:styleId="10" w:customStyle="1">
    <w:name w:val="Оглавление 10"/>
    <w:basedOn w:val="Standard"/>
    <w:next w:val="Standard"/>
    <w:qFormat/>
    <w:pPr>
      <w:ind w:left="1800" w:hanging="0"/>
    </w:pPr>
    <w:rPr/>
  </w:style>
  <w:style w:type="paragraph" w:styleId="Style20">
    <w:name w:val="Title"/>
    <w:basedOn w:val="Standard"/>
    <w:next w:val="Standard"/>
    <w:qFormat/>
    <w:pPr/>
    <w:rPr>
      <w:rFonts w:ascii="XO Thames" w:hAnsi="XO Thames" w:eastAsia="XO Thames" w:cs="XO Thames"/>
      <w:b/>
      <w:bCs/>
      <w:sz w:val="52"/>
      <w:szCs w:val="52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1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c7407a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LibreOffice/7.2.4.1$Linux_X86_64 LibreOffice_project/20$Build-1</Application>
  <AppVersion>15.0000</AppVersion>
  <Pages>2</Pages>
  <Words>542</Words>
  <Characters>3300</Characters>
  <CharactersWithSpaces>3729</CharactersWithSpaces>
  <Paragraphs>39</Paragraphs>
  <Company>RTN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2022-12-27T07:08:00Z</dcterms:created>
  <dc:creator>Василевский Александр Антонович</dc:creator>
  <dc:description/>
  <dc:language>ru-RU</dc:language>
  <cp:lastModifiedBy/>
  <cp:lastPrinted>2022-12-26T12:32:00Z</cp:lastPrinted>
  <dcterms:modified xsi:type="dcterms:W3CDTF">2023-01-16T18:23:55Z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